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077" w:type="dxa"/>
        <w:tblBorders>
          <w:top w:val="dashed" w:sz="6" w:space="0" w:color="BBBBBB"/>
          <w:left w:val="dashed" w:sz="6" w:space="0" w:color="BBBBBB"/>
          <w:bottom w:val="dashed" w:sz="6" w:space="0" w:color="BBBBBB"/>
          <w:right w:val="dashed" w:sz="6" w:space="0" w:color="BBBBBB"/>
        </w:tblBorders>
        <w:tblCellMar>
          <w:left w:w="0" w:type="dxa"/>
          <w:right w:w="0" w:type="dxa"/>
        </w:tblCellMar>
        <w:tblLook w:val="04A0"/>
      </w:tblPr>
      <w:tblGrid>
        <w:gridCol w:w="5494"/>
      </w:tblGrid>
      <w:tr w:rsidR="0008521C" w:rsidRPr="0008521C" w:rsidTr="0008521C">
        <w:tc>
          <w:tcPr>
            <w:tcW w:w="5494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21C" w:rsidRPr="0008521C" w:rsidRDefault="0008521C" w:rsidP="0008521C">
            <w:pPr>
              <w:spacing w:before="120" w:after="120" w:line="240" w:lineRule="auto"/>
              <w:ind w:left="120" w:right="120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ru-RU"/>
              </w:rPr>
            </w:pPr>
            <w:r w:rsidRPr="0008521C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Адрес: </w:t>
            </w:r>
            <w:r w:rsidRPr="0008521C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121351, Москва ул. Ярцевская, д. 12,строение 1</w:t>
            </w:r>
            <w:r w:rsidRPr="0008521C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Истец:</w:t>
            </w:r>
            <w:r w:rsidRPr="0008521C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  ФИО</w:t>
            </w:r>
            <w:r w:rsidRPr="0008521C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Адрес:</w:t>
            </w:r>
            <w:r w:rsidRPr="0008521C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  Московская область, г. _______________Тел. ____________________                                         </w:t>
            </w:r>
            <w:r w:rsidRPr="0008521C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Ответчик:</w:t>
            </w:r>
            <w:r w:rsidRPr="0008521C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 Государственное Учреждение - Главное управлениеПенсионного фонда России № 2 по г. Москве и Московской области</w:t>
            </w:r>
            <w:r w:rsidRPr="0008521C">
              <w:rPr>
                <w:rFonts w:ascii="Verdana" w:eastAsia="Times New Roman" w:hAnsi="Verdana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Адрес:</w:t>
            </w:r>
            <w:r w:rsidRPr="0008521C">
              <w:rPr>
                <w:rFonts w:ascii="Verdana" w:eastAsia="Times New Roman" w:hAnsi="Verdana" w:cs="Times New Roman"/>
                <w:color w:val="000000"/>
                <w:sz w:val="24"/>
                <w:szCs w:val="24"/>
                <w:lang w:eastAsia="ru-RU"/>
              </w:rPr>
              <w:t> 121596, г. Москва, ул. Горбунова, д. 2, стр. 2Тел. 8 (495) 417-42-95</w:t>
            </w:r>
          </w:p>
        </w:tc>
      </w:tr>
    </w:tbl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hyperlink r:id="rId4" w:history="1">
        <w:r w:rsidRPr="0008521C">
          <w:rPr>
            <w:rFonts w:ascii="Verdana" w:eastAsia="Times New Roman" w:hAnsi="Verdana" w:cs="Times New Roman"/>
            <w:b/>
            <w:bCs/>
            <w:color w:val="0000FF"/>
            <w:sz w:val="24"/>
            <w:szCs w:val="24"/>
            <w:u w:val="single"/>
            <w:lang w:eastAsia="ru-RU"/>
          </w:rPr>
          <w:t>ИСКОВОЕ ЗАЯВЛЕНИЕ</w:t>
        </w:r>
      </w:hyperlink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 признании незаконным решения комиссии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по назначению трудовой пенсии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"12" декабря 2013 г. истец подал заявление ответчику о назначении трудовой  пенсии по старости ранее достижения установленного возраста, в соответствии с П.П. 19 п.1. ст. 27, Федерального закона от 17.12.2001 N 173-ФЗ "О трудовых пенсиях в Российской Федерации".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Решением комиссии  по  пенсионным  вопросам ответчика – Протокол от "24" февраля 2014 г. (Приложение № 2) истцу было отказано в назначении пенсии по старости из-за отсутствия требуемого льготного стажа, в связи с не включением  следующего периода работы - с 24.01.2011 г. по 20.10.2011 г.  в должности «заместителя директора по УВР СОШ _____________________, так как не соблюдены условия пункта 4 Правил от 29.10.2002 г. предусматривающего, что периоды выполнявшиеся до 01.09.200 г. работы в должностях и учреждениях, указанных в списке, засчитываются в стаж работы независимо от условия выполнения в эти периоды нормы рабочего времени (педагогической или учебной нагрузки), а начиная с 01.09.200 г.,- при условии выполнения (суммарно по основному и другим местам работы) нормы рабочего времени (педагогической или учебной нагрузки), установленной за ставку заработной платы (должностной оклад) за исключением случаев, определенных названными Правилами.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Таким образом, ответчиком не был засчитан период равный - </w:t>
      </w:r>
      <w:r w:rsidRPr="0008521C">
        <w:rPr>
          <w:rFonts w:ascii="Verdana" w:eastAsia="Times New Roman" w:hAnsi="Verdana" w:cs="Times New Roman"/>
          <w:color w:val="000000"/>
          <w:sz w:val="24"/>
          <w:szCs w:val="24"/>
          <w:u w:val="single"/>
          <w:lang w:eastAsia="ru-RU"/>
        </w:rPr>
        <w:t>8 месяцам и 27 дням.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Засчитанный специальный стаж истца составил 24 года 3 месяца и 14 дней.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Для назначения пенсии в результате исключения вышеуказанного периода не хватило 8 месяцев и 16 дней.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Считаю данный отказ незаконным, а не включение указанного периода необоснованным поскольку.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Согласно п.п.19 п.1 ст.27 ФЗ «О трудовых пенсиях в Российской Федерации» трудовая пенсия по старости назначается не ранее достижения возраста 55 лет лицам, не менее 25 лет осуществлявшим педагогическую деятельность в учреждениях для детей, независимо от их возраста.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Постановлением Правительства РФ от 29 октября 2002 года за №781 был утвержден Список должностей и учреждений, работа в которых засчитывается в стаж работы, дающий право на досрочное назначение трудовой пенсии по старости лицам, осуществляющим педагогическую деятельность в учреждениях для детей, в соответствии с п.п.19 п.1 статьи 27 ФЗ « О трудовых пенсиях в РФ», предусмотрена должность учитель.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При проведении проверки ответчик без достаточного внимания отнесся к Тарификационному списку работников Средней общеобразовательной школы № 4 с углубленным изучением отдельных предметов им. Г.К. Жукова составленным на 2010-2011 учебный год, а именно в укачанный период кроме работы в должности заместителя директора по УВР СОШ № 4 им. Г.К. Жукова г. Краснознаменска на 0,5 ставки, истец продолжал работать в должности учителя русского языка и литературы на полную ставку.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Об этом свидетельствует и Приказ № 359 по средней школе № 4 г. Краснознаменска от 1 сентября 2010 года (Приложение № 3) в котором под № п/п указан истец как учитель русского языка и литературы с нагрузкой 21 час, что составляет полную ставку и Приказ № 303 по средней школе № 4 г. Краснознаменска от 01.09.2011 года в котором также истец значится как учитель русского языка и литературы с нагрузкой 21 час (Приложение № 4).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 соответствии с Приказом Министерства образования и науки РФ от 24 декабря 2010 г. N 2075 «О ПРОДОЛЖИТЕЛЬНОСТИ РАБОЧЕГО ВРЕМЕН (НОРМЕ ЧАСОВ ПЕДАГОГИЧЕСКОЙ РАБОТЫ ЗА СТАВКУ ЗАРАБОТНОЙ ПЛАТЫ) ПЕДАГОГИЧЕСКИХ РАБОТНИКОВ» - норма часов преподавательской работы за ставку заработной платы учителям 1 - 11 (12) классов образовательных учреждений установлена - 18 часов в неделю.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Таким образом, условие выполнения (суммарно по основному и другим местам работы) нормы рабочего времени (педагогической или учебной </w:t>
      </w: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нагрузки), установленной за ставку заработной платы (должностной оклад) для включения данного периода в специальный стаж дающий право на трудовую  пенсию по старости ранее достижения установленного возраста, в соответствии с П.П. 19 п.1. ст. 27, Федерального закона от 17.12.2001 N 173-ФЗ "О трудовых пенсиях в Российской Федерации".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На  основании  изложенного  и в соответствии с </w:t>
      </w:r>
      <w:hyperlink r:id="rId5" w:history="1">
        <w:r w:rsidRPr="0008521C">
          <w:rPr>
            <w:rFonts w:ascii="Verdana" w:eastAsia="Times New Roman" w:hAnsi="Verdana" w:cs="Times New Roman"/>
            <w:color w:val="0000FF"/>
            <w:sz w:val="24"/>
            <w:szCs w:val="24"/>
            <w:lang w:eastAsia="ru-RU"/>
          </w:rPr>
          <w:t>п. 7 ст. 18</w:t>
        </w:r>
      </w:hyperlink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Федерального</w:t>
      </w:r>
    </w:p>
    <w:p w:rsidR="0008521C" w:rsidRPr="0008521C" w:rsidRDefault="0008521C" w:rsidP="0008521C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закона от 17.12.2001 N 173-ФЗ "О трудовых пенсиях в Российской Федерации" и </w:t>
      </w:r>
      <w:hyperlink r:id="rId6" w:history="1">
        <w:r w:rsidRPr="0008521C">
          <w:rPr>
            <w:rFonts w:ascii="Verdana" w:eastAsia="Times New Roman" w:hAnsi="Verdana" w:cs="Times New Roman"/>
            <w:color w:val="0000FF"/>
            <w:sz w:val="24"/>
            <w:szCs w:val="24"/>
            <w:lang w:eastAsia="ru-RU"/>
          </w:rPr>
          <w:t>ст. 24</w:t>
        </w:r>
      </w:hyperlink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ГПК РФ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                       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    </w:t>
      </w:r>
      <w:r w:rsidRPr="0008521C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ПРОШУ СУД: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1.    Решение Комиссии по пенсионным вопросам ГУ – Главного Управления Пенсионного фонда России № 2 по г. Москве и Московской области  от "24" февраля 2014 г. отменить.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2.     Период работы: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- с 24.01.2011 г. по 20.10.2011 г.  в должности учителя русского языка и литературы СОШ _____________________ принять к зачету для досрочного назначения пенсии по старости в соответствии с П.П. 19 п.1. ст. 27, Федерального закона от 17.12.2001 N 173-ФЗ "О трудовых пенсиях в Российской Федерации".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3. Применить п. 23 Пленума верховного Российской Федерации от 20 декабря 2005 г. N 25 и обязать пенсионный орган назначить истцу пенсию со дня обращения с заявлением в пенсионный орган с "12" декабря 2013 г.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Приложения: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1.     Копия трудовой книжки Головачевой Светланы Анатольевны. – 2 экз.;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2.     Копия Решения – Протокол комиссии по пенсионным вопросам ГУ – Главного Управления Пенсионного фонда России № 2 по г. Москве и Московской области  от "24" февраля 2014 г. – 2 экз.;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3.     Копия Приказа № 359 по средней школе № 4 г. Краснознаменска от 1 сентября 2010 года. – 2 экз.;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lastRenderedPageBreak/>
        <w:t>4.     Приказ № 303 по средней школе № 4 г. Краснознаменска от 01.09.2011 года. – 2 экз.;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5.     Квитанция об оплате госпошлины;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6.     </w:t>
      </w:r>
      <w:hyperlink r:id="rId7" w:history="1">
        <w:r w:rsidRPr="0008521C">
          <w:rPr>
            <w:rFonts w:ascii="Verdana" w:eastAsia="Times New Roman" w:hAnsi="Verdana" w:cs="Times New Roman"/>
            <w:color w:val="0000FF"/>
            <w:sz w:val="24"/>
            <w:szCs w:val="24"/>
            <w:u w:val="single"/>
            <w:lang w:eastAsia="ru-RU"/>
          </w:rPr>
          <w:t>Исковое заявление</w:t>
        </w:r>
      </w:hyperlink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для ответчика.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7.     Копия Доверенности на представителя Машенкова С.П.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 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Оригиналы приложенных документов будут представлены на судебном заседании.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"__" июля 2014 г.  Представитель истца Машенков С.П.___________</w:t>
      </w:r>
    </w:p>
    <w:p w:rsidR="0008521C" w:rsidRPr="0008521C" w:rsidRDefault="0008521C" w:rsidP="0008521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5"/>
          <w:szCs w:val="15"/>
          <w:lang w:eastAsia="ru-RU"/>
        </w:rPr>
      </w:pPr>
      <w:r w:rsidRPr="0008521C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По вопросам составления </w:t>
      </w:r>
      <w:hyperlink r:id="rId8" w:history="1">
        <w:r w:rsidRPr="0008521C">
          <w:rPr>
            <w:rFonts w:ascii="Verdana" w:eastAsia="Times New Roman" w:hAnsi="Verdana" w:cs="Times New Roman"/>
            <w:b/>
            <w:bCs/>
            <w:color w:val="0000FF"/>
            <w:sz w:val="24"/>
            <w:szCs w:val="24"/>
            <w:u w:val="single"/>
            <w:lang w:eastAsia="ru-RU"/>
          </w:rPr>
          <w:t>исковых заявлений</w:t>
        </w:r>
      </w:hyperlink>
      <w:r w:rsidRPr="0008521C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, договоров, дополнительных соглашений, других документов рекомендуем, обратится к нашим юристам по </w:t>
      </w:r>
      <w:r w:rsidRPr="0008521C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br/>
        <w:t>тел. 8 (919) 722-05-32</w:t>
      </w:r>
      <w:r w:rsidRPr="0008521C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br/>
        <w:t>Юридическое обслуживание организаций и физических лиц – www.mashenkof.ru </w:t>
      </w:r>
    </w:p>
    <w:p w:rsidR="00B52F86" w:rsidRDefault="00B52F86"/>
    <w:sectPr w:rsidR="00B52F86" w:rsidSect="00B52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8521C"/>
    <w:rsid w:val="0008521C"/>
    <w:rsid w:val="00B52F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521C"/>
    <w:rPr>
      <w:b/>
      <w:bCs/>
    </w:rPr>
  </w:style>
  <w:style w:type="character" w:customStyle="1" w:styleId="apple-converted-space">
    <w:name w:val="apple-converted-space"/>
    <w:basedOn w:val="a0"/>
    <w:rsid w:val="0008521C"/>
  </w:style>
  <w:style w:type="paragraph" w:styleId="a4">
    <w:name w:val="Normal (Web)"/>
    <w:basedOn w:val="a"/>
    <w:uiPriority w:val="99"/>
    <w:semiHidden/>
    <w:unhideWhenUsed/>
    <w:rsid w:val="000852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852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levoe_menyu/obrazci_iskovih_zayavleniy/ponyatie_iskovogo_zayavleniy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F83088492A1187CB48A861335108A452AEDF41C9366585930265EA04C1168C3BD426F3FA5CE4681pBW2I" TargetMode="External"/><Relationship Id="rId5" Type="http://schemas.openxmlformats.org/officeDocument/2006/relationships/hyperlink" Target="consultantplus://offline/ref=9F83088492A1187CB48A861335108A452AECF71A9869585930265EA04C1168C3BD426F3FA5CE4580pBW9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1028</Words>
  <Characters>5864</Characters>
  <Application>Microsoft Office Word</Application>
  <DocSecurity>0</DocSecurity>
  <Lines>48</Lines>
  <Paragraphs>13</Paragraphs>
  <ScaleCrop>false</ScaleCrop>
  <Company/>
  <LinksUpToDate>false</LinksUpToDate>
  <CharactersWithSpaces>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2016-05-18T10:05:00Z</dcterms:created>
  <dcterms:modified xsi:type="dcterms:W3CDTF">2016-05-18T10:05:00Z</dcterms:modified>
</cp:coreProperties>
</file>