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EBB" w:rsidRDefault="00337EBB" w:rsidP="00337EB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bdr w:val="none" w:sz="0" w:space="0" w:color="auto" w:frame="1"/>
        </w:rPr>
        <w:fldChar w:fldCharType="begin"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instrText xml:space="preserve"> HYPERLINK "http://mashenkof.ru/levoe_menyu/dopolnitelnie_soglasheniya_k_dogovoram/dopolnitelnoe_soglashenie_k_dogovoru/" </w:instrText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fldChar w:fldCharType="separate"/>
      </w:r>
      <w:r>
        <w:rPr>
          <w:rStyle w:val="a5"/>
          <w:rFonts w:ascii="Arial" w:hAnsi="Arial" w:cs="Arial"/>
          <w:b/>
          <w:bCs/>
          <w:color w:val="34BBD4"/>
          <w:u w:val="none"/>
          <w:bdr w:val="none" w:sz="0" w:space="0" w:color="auto" w:frame="1"/>
        </w:rPr>
        <w:t>Дополнительное соглашение</w:t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fldChar w:fldCharType="end"/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№___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 ДОГОВОРУ ПОРУЧИТЕЛЬСТВА № _________________ «____» _________ 2016 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 г. Москва                                                                     «___» _______ 2016 года</w:t>
      </w:r>
    </w:p>
    <w:p w:rsidR="00337EBB" w:rsidRDefault="00337EBB" w:rsidP="00337EB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37EBB" w:rsidRDefault="00337EBB" w:rsidP="00337EB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Общество с ограниченной ответственностью «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рОГА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И КОПЫТА», именуемый в дальнейшем Банк, в лице Председателя Правления _______________________________________, действующей на основании Устава, с одной стороны, и __________________, именуемый в дальнейшем Поручитель, с другой стороны, далее совместно именуемые «Стороны», заключили настоящие Дополнительное соглашение (далее – «Дополнительное соглашение») о нижеследующем: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 Стороны договорились пункт 1.2.2. Договора поручительства № ______________________________,  изложить в следующей редакции: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«1.2.2. процентная ставка: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- за период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 даты выдачи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кредита (не включая эту дату) по «30» июня 2010 г. (включительно) – по ставке 9,5 (Девять целых пять десятых) процентов годовых;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- за период с «01» июля 2010 г. (включительно) по «31» января 2011г. (включительно) – по переменной процентной ставке, определяемой в зависимости от размера выручки, поступившей на расчетный счет Заемщика, указанный в Приложении № 1, за истекший Расчетный период, в соответствии со следующей таблицей: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Критерии для установления переменной процентной ставки: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период с «01» июля 2010г. по «31» января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Размер выручки за расчетный период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до 150 000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000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(Сто пятьдесят миллионов) рублей (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невключительно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)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свыше 150 000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000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(Сто пятьдесят миллионов) рублей (включительно)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Процентная ставка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14 (Четырнадцать) процентов годовых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9 (Девять) процентов годовых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- за период с «01» февраля 2011 г. (включительно) по дату полного погашения кредита, указанную в п.1.1 Договора, – по переменной процентной ставке, определяемой в зависимости от размера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выручки, поступившей на расчетный счет Заемщика, указанный в Приложении № 1, за истекший Расчетный период, в соответствии со следующей таблицей: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Критерии для установления переменной процентной ставки: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период с «01» февраля 2011г. по «26» октября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Размер выручки за расчетный период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до 300 000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000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(Триста миллионов) рублей (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невключительно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)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свыше 300 000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000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(Триста миллионов) рублей (включительно)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Процентная ставка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lastRenderedPageBreak/>
        <w:t>14 (Четырнадцать) процентов годовых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8 (Восемь) процентов годовых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 Расчетный период при определении значени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я(</w:t>
      </w:r>
      <w:proofErr w:type="spellStart"/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ий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) критерия(ев) для установления переменной процентной ставки принимается истекший календарный месяц.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Процентная ставка устанавливается ежемесячно на соответствующий Процентный период, в соответствии с Таблицей соответствия Расчетного и Процентного периодов: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Расчетный период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Процентный период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июня 2010г. по «30» июня 2010г.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июля 2010г. по «31» июля 2010г.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июля 2010г. по «31» июля 2010г.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августа 2010г. по «31» августа 2010г.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августа 2010г. по «31» августа 2010г.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сентября 2010г. по «30» сентября 2010г.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сентября 2010г. по «30» сентября 2010г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 «01» октября 2010г. по «31» октября 2010г.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октября 2010г. по «31» октября 2010г.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ноября 2010г. по «30» ноября 2010г.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ноября 2010г. по «30» ноября 2010г.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декабря 2010г. по «31» декабря 2010г.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декабря 2010г. по «31» декабря 2010г.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января 2011г. по «31» января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января 2011г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.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 «31» января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февраля 2011г. по «28» февраля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февраля 2011г. по «28» февраля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марта 2011г. по «31» марта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марта 2011г. по «31» марта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апреля 2011г. по «30» апреля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апреля 2011г. по «30» апреля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мая 2011г. по «31» мая 2011г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 «01» мая 2011г. по «31» мая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июня 2011г. по «30» июня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июня 2011г. по «30» июня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июля 2011г. по «31» июля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июля 2011г. по «31» июля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августа 2011г. по «31» августа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августа 2011г. по «31» августа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lastRenderedPageBreak/>
        <w:t>с «01» сентября 2011г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.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 «30» сентября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сентября 2011г. по «30» сентября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октября 2011г. по «31» октября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октября 2011г. по «31» октября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ноября 2011г. по «30» ноября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ноября 2011г. по «30» ноября 2011г.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декабря 2011г. по «31» декабря 2011г.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декабря 2011г. по «31» декабря 2011г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 «01» января 2012г. по «31» января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января 2012г. по «31» января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февраля 2012г. по «29» февраля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февраля 2012г. по «29» февраля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марта 2012г. по «31» марта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марта 2012г. по «31» марта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апреля 2012г. по «30» апреля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апреля 2012г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.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 «30» апреля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мая 2012г. по «31» мая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мая 2012г. по «31» мая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июня 2012г. по «30» июня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июня 2012г. по «30» июня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июля 2012г. по «31» июля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июля 2012г. по «31» июля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августа 2012г. по «31» августа 2012г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августа 2012г. по «31» августа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сентября 2012г. по «30» сентября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сентября 2012г. по «30» сентября 2012г.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«01» октября 2012г. по «26» октября 2012г.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Значения критери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я(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ев) для установления переменной процентной ставки по любому новому счету, открытому у Кредитора, учитываются Кредитором для определения процентной ставки по Договору, начиная с Расчетного периода, в котором заключено дополнительное соглашение к Кредитному договору о внесении нового счета в Приложение № 1.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Процентная ставка самостоятельно рассчитывается Заемщиком в соответствии с пунктом 4.1. Кредитного договора. Кредитор вправе в целях информирования Заемщика направлять в адрес последнего уведомление о размере установленной процентной ставки с указанием соответствующих значений критериев.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Проценты начисляются на сумму фактической ссудной задолженности по кредиту начиная с даты, следующей за датой образования задолженности по ссудном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у(</w:t>
      </w:r>
      <w:proofErr w:type="spellStart"/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ым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) счету(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ам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) (включительно), и по дату, в которую Заемщиком должны </w:t>
      </w:r>
      <w:r>
        <w:rPr>
          <w:rFonts w:ascii="Arial" w:hAnsi="Arial" w:cs="Arial"/>
          <w:color w:val="333333"/>
          <w:bdr w:val="none" w:sz="0" w:space="0" w:color="auto" w:frame="1"/>
        </w:rPr>
        <w:lastRenderedPageBreak/>
        <w:t>были быть исполнены обязательства по погашению кредита (включительно).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Уплата процентов производится ежемесячно «25» числа каждого календарного месяца и в дату полного погашения кредита, указанную в п. 1.1. Кредитного договора в сумме начисленных на указанные даты процентов (включительно).».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Во всем остальном, что не предусмотрено условиями настоящего Дополнительного соглашения Стороны руководствуются условиями Договора.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 3. Настоящее Дополнительное соглашение вступает в силу с «___» _________ 2013г. и является неотъемлемой частью Договора.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4. Настоящее Дополнительное соглашение составлено в двух экземплярах, имеющих равную юридическую силу, по одному для каждой из Сторон.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5. МЕСТОНАХОЖДЕНИЕ И РЕКВИЗИТЫ СТОРОН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БАНК: ООО «РОГА И КОПЫТА» Банк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 ПОРУЧИТЕЛЬ: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фио</w:t>
      </w:r>
      <w:proofErr w:type="spell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Дата рождения: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Адрес регистрации (прописки):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Адрес фактического местожительства: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Паспорт: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Телефоны: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6. ПОДПИСИ СТОРОН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Банк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Поручитель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 Председатель правления ООО «РОГА И КОПЫТА» Банк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__________________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фио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м.п.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(Ф.И.О. полностью, подпись)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БАНК ПОРУЧИТЕЛЬ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Дополнительное соглашение №____ от «____» _________________ 2016 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 ДОГОВОРУ ПОРУЧИТЕЛЬСТВА № _______________________________</w:t>
      </w:r>
    </w:p>
    <w:p w:rsidR="00865C88" w:rsidRPr="00337EBB" w:rsidRDefault="00337EBB" w:rsidP="00337EB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По всем вопросам составления дополнительных соглашений Вы 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можите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тел. 8 (919) 722-05-32. Сайт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; 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E-mail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: 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mashserpav@rambler.ru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>. </w:t>
      </w:r>
    </w:p>
    <w:sectPr w:rsidR="00865C88" w:rsidRPr="00337EBB" w:rsidSect="00865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EBB"/>
    <w:rsid w:val="00337EBB"/>
    <w:rsid w:val="0086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7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7EBB"/>
    <w:rPr>
      <w:b/>
      <w:bCs/>
    </w:rPr>
  </w:style>
  <w:style w:type="character" w:styleId="a5">
    <w:name w:val="Hyperlink"/>
    <w:basedOn w:val="a0"/>
    <w:uiPriority w:val="99"/>
    <w:semiHidden/>
    <w:unhideWhenUsed/>
    <w:rsid w:val="00337EBB"/>
    <w:rPr>
      <w:color w:val="0000FF"/>
      <w:u w:val="single"/>
    </w:rPr>
  </w:style>
  <w:style w:type="character" w:customStyle="1" w:styleId="apple-converted-space">
    <w:name w:val="apple-converted-space"/>
    <w:basedOn w:val="a0"/>
    <w:rsid w:val="00337E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6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1129</Words>
  <Characters>6439</Characters>
  <Application>Microsoft Office Word</Application>
  <DocSecurity>0</DocSecurity>
  <Lines>53</Lines>
  <Paragraphs>15</Paragraphs>
  <ScaleCrop>false</ScaleCrop>
  <Company/>
  <LinksUpToDate>false</LinksUpToDate>
  <CharactersWithSpaces>7553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2016-05-07T12:39:00Z</dcterms:created>
  <dcterms:modified xsi:type="dcterms:W3CDTF">2016-05-07T12:40:00Z</dcterms:modified>
</cp:coreProperties>
</file>